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rPr/>
      </w:pP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b/>
          <w:color w:val="000000"/>
          <w:szCs w:val="28"/>
        </w:rPr>
        <w:t>Об ответственности физических лиц за сдачу жилья без уплаты налога.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rFonts w:cs="Times New Roman"/>
          <w:b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Прокуратура разъясняет, что доходы, полученные физическими лицами от сдачи в аренду жилья, являются объектом налогообложения по налогу на доходы физических лиц (НДФЛ).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 полученных доходов арендодатели обязаны заплатить НДФЛ по ставке 13%, если физическое лицо является резидентом Российской Федерации. Налог необходимо уплатить не позднее 15 июля года, следующим за годом получения дохода. А представить декларацию – не позднее 30 апреля.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Обязанность физического лиц по самостоятельному исчислению и уплате налога установлена статьей 228 Налогового кодекса Российской Федерации. Непредставление декларации по форме 3-НДФЛ в налоговую инспекцию по месту учета влечет взыскание штрафа в размере 5% от не уплаченной в срок суммы налога за каждый полный или неполный месяц начиная со дня, когда декларация должна быть представлена. Размер штрафа ограничен 30% указанной суммы и не может быть менее 1 тыс. рублей.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 xml:space="preserve">Обращаем внимание граждан, что в отдельных случаях деятельность физического лица по сдаче в аренду помещений может быть признана предпринимательской. В связи с этим ведение предпринимательской деятельности без постановки на учет в налоговой инспекции в качестве индивидуального предпринимателя влечет взыскание штрафа в размере 10% от доходов, полученных в течение ведения такой деятельности без регистрации. При этом штраф не может быть менее 40 тыс. руб. 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sz w:val="28"/>
          <w:szCs w:val="28"/>
        </w:rPr>
        <w:t>О п</w:t>
      </w:r>
      <w:r>
        <w:rPr>
          <w:bCs w:val="false"/>
          <w:color w:val="000000"/>
          <w:sz w:val="28"/>
          <w:szCs w:val="28"/>
        </w:rPr>
        <w:t>рохождение диспансеризации в рабочее и нерабочее время</w:t>
      </w:r>
    </w:p>
    <w:p>
      <w:pPr>
        <w:pStyle w:val="2"/>
        <w:shd w:val="clear" w:color="auto" w:fill="FFFFFF"/>
        <w:spacing w:beforeAutospacing="0" w:before="0" w:after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color w:val="2C2C2C"/>
          <w:sz w:val="28"/>
          <w:szCs w:val="28"/>
        </w:rPr>
        <w:t>Прокуратура разъясняет, что в Программу государственных гарантий бесплатного оказания гражданам медицинской помощи на 2019 год и на плановый период 2020 и 2021 годов внесены изменения в части порядка прохождения диспансеризации.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Так, предусмотрена возможность прохождения работниками в рамках проведения профилактических мероприятий профилактических медицинских осмотров, диспансеризации, в том числе, в вечерние часы и выходной день – субботу, а также возможность дистанционной записи на медицинское обследование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Одновременно на органы исполнительной власти субъектов Российской Федерации в сфере охраны здоровья возлагается обязанность организовать указанные мероприятия.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При этом за работниками сохраняется право выбора времени прохождения медицинских осмотров, диспансеризации. В случае прохождения медицинских осмотров, диспансеризации в рабочее время, работодатели в порядке ст. 185.1 Трудового кодекса Российской Федерации на основании письменного заявления работников обязаны их освободить в этот день от работы с сохранением за ними места работы (должности) и среднего заработка.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color w:val="2C2C2C"/>
          <w:sz w:val="28"/>
          <w:szCs w:val="28"/>
        </w:rPr>
        <w:t xml:space="preserve">Об условиях труда </w:t>
      </w:r>
      <w:r>
        <w:rPr>
          <w:bCs w:val="false"/>
          <w:color w:val="000000"/>
          <w:sz w:val="28"/>
          <w:szCs w:val="28"/>
        </w:rPr>
        <w:t>в жаркую погоду</w:t>
      </w:r>
    </w:p>
    <w:p>
      <w:pPr>
        <w:pStyle w:val="2"/>
        <w:shd w:val="clear" w:color="auto" w:fill="FFFFFF"/>
        <w:spacing w:beforeAutospacing="0" w:before="0" w:after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color w:val="2C2C2C"/>
          <w:sz w:val="28"/>
          <w:szCs w:val="28"/>
        </w:rPr>
        <w:t>Трудовым законодательством установлено, что работодатель обязан обеспечить своим сотрудникам нормальные условия труда на каждом рабочем месте, соответствующие требованиям охраны труда, а также создание и функционирование системы управления охраной труда, в рамках которой организуется процедура управления профессиональными рисками.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Учитывая жаркую погоду, работодателю необходимо идентифицировать опасности, представляющие угрозу жизни и здоровью работников, в рамках процедуры управления профессиональными рисками.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 частности, опасность теплового удара при длительном нахождении в помещении с высокой температурой воздуха и опасности, связанные с воздействием микроклимата и климатические опасности – опасность воздействия повышенных температур воздуха. По итогам чего необходимо оценить уровни профессиональных рисков и принять меры по их исключению или снижению.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Так, в жаркую погоду необходимо обеспечить соответствующий температурный режим, например, за счет кондиционирования, а также давать сотрудникам возможность делать перерывы в работе, предусмотреть места для отдыха, следить за тем, чтобы в рабочих помещениях всегда была доступна чистая питьевая вода и аптечка с медикаментами.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Например, продолжительность рабочего времени при отклонении температуры воздуха от нормы установлена СанПиНом. Если в рабочем помещении температура достигла 28,5 градусов, то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При этом для работников, выполняющих работы, связанные с постоянным перемещением (ходьбой), умеренными и значительными физическими нагрузками, переноской и перемещением тяжестей, продолжительность рабочего дня сокращается при достижении более низких температур (26,5 градусов-27,5 градусов).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О возможности совершения совместных завещаний и заключения наследственных договоров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 01.06.2019 вступили в силу поправки в Гражданский кодекс Российской Федерации.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Теперь муж и жена смогут распорядиться своим имуществом не отдельно, а по договоренности – подобной меры в России ранее не существовало ни в каком виде.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 помощью наследственного договора можно не только передать имущество, но и заставить наследника содержать детей наследодателя.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определить имущество, входящее в наследственную массу каждого из супругов, если такое определение не нарушает прав третьих лиц; лишить наследства одного, нескольких или всех наследников по закону, не указывая причин такого лишения; включить в совместное завещание супругов иные завещательные распоряжения, возможность совершения которых предусмотрена Гражданским кодексом РФ.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При этом, условия совместного завещания супругов действуют в части, не противоречащей правилам об обязательной доле в наследстве (в том числе об обязательной доле в наследстве, право на которую появилось после составления совместного завещания супругов), а также о запрете наследования недостойными наследниками. Совместное завещание супругов утрачивает силу в случае расторжения брака или признания брака недействительным как до, так и после смерти одного из супругов.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Такое завещание супругов может быть оспорено по иску любого из супругов при их жизни.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Наследственный договор может также содержать условие о душеприказчике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этом,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Прокуратура об изменениях основных гарантий избирательных прав и права на участие в референдуме граждан Российской Федерации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Внесены изменения в Федеральный закон от 12.06.2002 № 67-ФЗ «Об основных гарантиях избирательных прав и права на участие в референдуме граждан Российской Федерации» и в иные законодательные акты Российской Федерации.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Согласно новым положениям закона, российским гражданам, не имеющим регистрации по месту жительства на территории Российской Федерации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 предоставляется право голосовать на региональных выборах и референдумах.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Также устанавливается порядок включения россиян, работающих вахтовым методом, в списки по аналогии с избирателями, которые находятся в местах временного пребывания. Для этого избиратель должен будет подать письменное заявление в участковую комиссию не позднее, чем за три дня до голосования.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Ранее для участия в региональных выборах гражданам необходимо было иметь постоянную регистрацию по месту жительства.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Кроме того, новым законом определен порядок проведения проверки лиц, которые назначаются членами избирательной комиссии, а также предоставлено право субъектам Российской Федерации устанавливать срок полномочий участковой комиссии от 1 года до 5 лет.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Прокуратура разъясняет, что внесены изменения в статьи 3.5 и 7.19 Кодекса Российской Федерации об административных правонарушениях.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Данными изменениями вышеуказанными статьями установлена административная ответственность за совершение повторного самовольного подключение и использование электрической, тепловой энергии.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Так, 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(безучетном) использовании электрической, тепловой энергии, нефти, газа или нефтепродуктов, если эти действия не содержат уголовно-наказуемого деяния, повлечет наложение административного штрафа: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на граждан – от 15000 до 30000 рублей;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на должностных лиц – от 80000 до 200000 рублей или дисквалификацию от 2 до 3 лет;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на юридических лиц – от 200000 до 300000 рублей.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Закон вступил в силу с 09.06.2019.</w:t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О посещении пациента в реанимации его родственниками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Прокуратура разъясняет, что внесены изменениия в статьи 14 и 79 Федерального закона «Об основах охраны здоровья граждан в Российской Федерации», которым на медицинскую организацию возложена обязанность предоставлять возможность родственникам и иным членам семьи или законным представителя пациента посещать его в медицинской организации, в том числе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Такой порядок организации посещения родственниками пациента в медицинской организации подлежит утверждению Министерством здравоохранения Российской Федерации.</w:t>
      </w:r>
    </w:p>
    <w:p>
      <w:pPr>
        <w:pStyle w:val="2"/>
        <w:shd w:val="clear" w:color="auto" w:fill="FFFFFF"/>
        <w:spacing w:beforeAutospacing="0" w:before="0" w:after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</w:r>
      <w:r>
        <w:br w:type="page"/>
      </w:r>
    </w:p>
    <w:p>
      <w:pPr>
        <w:pStyle w:val="2"/>
        <w:shd w:val="clear" w:color="auto" w:fill="FFFFFF"/>
        <w:spacing w:beforeAutospacing="0" w:before="0" w:afterAutospacing="0" w:after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Об изменениях в законе об ОСАГО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 1 июня 2019 года вступили в силу отдельные изменения в Федеральный закон от 25.04.2002 N 40-ФЗ «Об обязательном страховании гражданской ответственности владельцев транспортных средств".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Данными изменениями расширяется круг лиц, имеющих право на получение компенсационной выплаты, наряду с потерпевшим и  выгодоприобретателем. Такое право теперь имеют: страховщик, приобретший право на получение компенсационной выплаты; лицо, приобретшее в порядке наследования право на получение компенсационной выплаты, если она потерпевшему не производилась; представитель потерпевшего, право которого на получение компенсационной выплаты подтверждено нотариально удостоверенной доверенностью или доверенностью, подпись потерпевшего на которой удостоверена администрацией медицинской организации, в которой потерпевший находится на излечении в стационарных условиях.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Уточняется течение срока исковой давности по требованиям об осуществлении компенсационных выплат. Иск об осуществлении компенсационной выплаты может быть предъявлен в течение трех лет со дня дорожно-транспортного происшествия.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За несоблюдение профессиональным объединением страховщиков предусмотренного срока осуществления компенсационной выплаты профессиональное объединение страховщиков по заявлению лица, уплачивает ему неустойку (пеню) за каждый день просрочки в размере одного процента от определенного размера компенсационной выплаты по виду причиненного вреда.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Вводится претензионный порядок рассмотрения споров, касающихся осуществления компенсационных выплат.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2C2C2C"/>
          <w:sz w:val="28"/>
          <w:szCs w:val="28"/>
        </w:rPr>
        <w:t>Исключается применение к отношениям по осуществлению профессиональным объединением страховщиков компенсационных выплат положений </w:t>
      </w:r>
      <w:hyperlink r:id="rId2">
        <w:r>
          <w:rPr>
            <w:rStyle w:val="Style14"/>
            <w:color w:val="0050A0"/>
            <w:sz w:val="28"/>
            <w:szCs w:val="28"/>
          </w:rPr>
          <w:t>Закона</w:t>
        </w:r>
      </w:hyperlink>
      <w:r>
        <w:rPr>
          <w:color w:val="2C2C2C"/>
          <w:sz w:val="28"/>
          <w:szCs w:val="28"/>
        </w:rPr>
        <w:t>РФ от 07.02.1992 N 2300-1 "О защите прав потребителей".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Также вступает в силу Указание Банка России от 14.12.2018 N 5011-У, которым определен порядок принятия решения об ограничении осуществления страховщиком возмещения причиненного транспортному средству вреда в натуре.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 случае выявления Банком России неоднократного (2 и более раза) в течение одного года нарушения страховщиком обязательств по восстановительному ремонту структурное подразделение Банка России, осуществляющее надзор за деятельностью страховщиков, должно подготовить и направить на рассмотрение Комитета финансового надзора Банка России заключение о деятельности страховщика.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 результатам его рассмотрения может быть установлен срок ограничения осуществления страховщиком возмещения причиненного вреда в натуре (до 1 года в зависимости от количества выявленных нарушений).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rFonts w:cs="Times New Roman"/>
          <w:b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О доступе в жилище управляющих компаний.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Верховный Суд РФ подтвердил право управляющих компаний на доступ в жилище для проведения его осмотра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Конституция Российской Федерации в статье 25 закрепила право на неприкосновенность жилища. Возможность проникновения в жилище против воли проживающих в нем лиц возможна лишь в случаях, предусмотренных действующим законодательством, а также на основании судебного решения.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Положения указанной нормы явились, в том числе, предметом анализа в Верховном Суде Российской Федерации при разрешении спора между управляющей компанией и собственником квартиры, отказавшимся предоставить доступ в его жилище. Судом подтверждена обязанность предоставления доступа в жилище представителям управляющей компании.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Так, согласно части 4 статьи 17 Жилищного кодекса Российской Федерации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Приведенные нормы определяют порядок обслуживания и ремонта жилищного фонда с целью обеспечения сохранности жилищного фонда всех форм собственности; обеспечения выполнения требований действующих нормативов по содержанию и ремонту жилых домов, их конструктивных элементов и инженерных систем и предусматривают обязанность управляющей компании осуществлять эксплуатационный контроль за техническим состоянием зданий и внутриквартирного оборудования путем осуществления периодических осмотров, для чего она имеет право требовать допуска в заранее согласованное с потребителем время.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Верховным Судом установлено, что собственник сделал в квартире перепланировку, а доказательств ее согласования не предоставил. Управляющая компания хотела осмотреть жилье, однако ни в комнату, ни в кухню, ни в лоджию ее не пустили, в связи с чем, компания обратилась в суд.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По итогам рассмотрения Верховный суд подтвердил, что управляющая компания имеет право доступа в квартиру. Это может быть необходимо, в том числе, для профилактики аварийных ситуаций или предотвращения нарушений прав соседей.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Вместе с тем, судом указано, что такие посещения разрешены не чаще, чем один раз в три месяца, а время осмотра необходимо согласовать заранее.</w:t>
      </w:r>
      <w:r>
        <w:br w:type="page"/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2C2C2C"/>
          <w:szCs w:val="28"/>
        </w:rPr>
      </w:pPr>
      <w:r>
        <w:rPr>
          <w:rFonts w:cs="Times New Roman"/>
          <w:b/>
          <w:color w:val="2C2C2C"/>
          <w:szCs w:val="28"/>
        </w:rPr>
        <w:t>Прокуратура об изменениях в законе о применении контрольно-кассовой техники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Внесенными изменениями в Федеральный закон «О применении контрольно-кассовой техники при осуществлении расчетов в Российской Федерации» установлено,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Однако, в случае заключения трудового договора с работником индивидуальные предприниматели обязаны в течение тридцати календарных дней с даты заключения такого трудового договора зарегистрировать контрольно-кассовую технику.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Кроме того, закон освобождает от применения онлайн-касс при безналичных расчетах (за исключением расчетов платежными картами с предъявлением):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товарищества собственников недвижимости, жилищные, жилищно-строительные кооперативы и иные специализированные потребительские кооперативы;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образовательные организации при оказании услуг населению в сфере образования;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физкультурно-спортивные организации при оказании услуг населению в сфере физической культуры и спорта;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дома культуры, клубы, центры культурного развития, этнокультурные центры при оказании услуг населению в области культуры.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Также, контрольно-кассовая техника может не применяться индивидуальными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лотка, кроме случаев реализации указанных входных билетов и абонементов с использованием сети "Интернет" и сетей связи.</w:t>
      </w:r>
      <w:r>
        <w:br w:type="page"/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О запрете рекламы пива.Запрет рекламы пива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 1 января 2019 года реклама пива и напитков, изготавливаемых на основе пива, не должна размещаться: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в периодических печатных изданиях;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в физкультурно-оздоровительных, спортивных сооружениях.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Указанные изменения внесены в статью 21 Федерального закона «О рекламе»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>
        <w:br w:type="page"/>
      </w:r>
    </w:p>
    <w:p>
      <w:pPr>
        <w:pStyle w:val="Normal"/>
        <w:shd w:val="clear" w:color="auto" w:fill="FFFFFF"/>
        <w:rPr>
          <w:rFonts w:cs="Times New Roman"/>
          <w:b/>
          <w:b/>
          <w:color w:val="2C2C2C"/>
          <w:szCs w:val="28"/>
        </w:rPr>
      </w:pPr>
      <w:r>
        <w:rPr>
          <w:rFonts w:cs="Times New Roman"/>
          <w:b/>
          <w:color w:val="2C2C2C"/>
          <w:szCs w:val="28"/>
        </w:rPr>
        <w:t>Межрайонная прокуратура о праве на информацию о деятельности садоводческого товарищества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В соответствии с ч.1 ст.11 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член товарищества имеет право: в случаях и в порядке, которые предусмотрены настоящим Федеральным законом 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 участвовать в управлении делами товарищества.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Аналогичная норма существовала и в ранее действовавшем федеральном законе. Так, согласно п. 2 ч. 1 ст. 19 ФЗ "О садоводческих, огороднических и дачных некоммерческих объединениях граждан" от 03.07.2016 N 337-ФЗ член садоводческого, огороднического или дачного некоммерческого объединения имеет право получать информацию о деятельности органов управления таким объединением и его органа контроля.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Действующее законодательство предполагает обязанность садоводческого товарищества по предоставлению информации с момента обращения члена товарищества к уполномоченному лицу с соответствующим заявлением и если информация не предоставляется такое бездействие признается незаконным.</w:t>
      </w:r>
    </w:p>
    <w:p>
      <w:pPr>
        <w:pStyle w:val="Normal"/>
        <w:shd w:val="clear" w:color="auto" w:fill="FFFFFF"/>
        <w:jc w:val="center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Споры о предоставлении информации рассматриваются судами общей юрисдикции.</w:t>
      </w:r>
      <w:r>
        <w:br w:type="page"/>
      </w:r>
    </w:p>
    <w:p>
      <w:pPr>
        <w:pStyle w:val="Normal"/>
        <w:shd w:val="clear" w:color="auto" w:fill="FFFFFF"/>
        <w:jc w:val="center"/>
        <w:rPr>
          <w:rFonts w:cs="Times New Roman"/>
          <w:color w:val="2C2C2C"/>
          <w:szCs w:val="28"/>
        </w:rPr>
      </w:pPr>
      <w:r>
        <w:rPr>
          <w:rFonts w:cs="Times New Roman"/>
          <w:b/>
          <w:color w:val="2C2C2C"/>
          <w:szCs w:val="28"/>
        </w:rPr>
        <w:t>Межрайонная прокуратура об упрощении процедуры признания лица инвалидом.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Законом предусмотрено, что направление на медико-социальную экспертизу (МСЭ) будет передаваться в бюро МСЭ в электронном виде с использованием информационных систем без участия гражданина, а при отсутствии доступа к информационным системам - на бумажном носителе. При этом гражданин будет направляться на МСЭ только с его письменного согласия. Сведения о результатах МСЭ также будут передаваться в электронном виде.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С 1 октября 2019 г. граждане смогут через Единый портал госуслуг: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подать заявление о проведении МСЭ;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получить копии акта и протокола проведения МСЭ;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- обжаловать решение бюро МСЭ.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Предусмотрена возможность проведения МСЭ в исправительном учреждении.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  <w:t>Постановление Правительства России от 16 мая 2019 г. № 607 «О внесении изменений в Правила признания лица инвалидом» (вступили в силу со дня его официального опубликования, кроме отдельных положений).</w:t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  <w:r>
        <w:br w:type="page"/>
      </w:r>
    </w:p>
    <w:p>
      <w:pPr>
        <w:pStyle w:val="Normal"/>
        <w:shd w:val="clear" w:color="auto" w:fill="FFFFFF"/>
        <w:rPr>
          <w:rFonts w:cs="Times New Roman"/>
          <w:color w:val="2C2C2C"/>
          <w:szCs w:val="28"/>
        </w:rPr>
      </w:pPr>
      <w:r>
        <w:rPr>
          <w:rFonts w:cs="Times New Roman"/>
          <w:color w:val="2C2C2C"/>
          <w:szCs w:val="28"/>
        </w:rPr>
      </w:r>
    </w:p>
    <w:p>
      <w:pPr>
        <w:pStyle w:val="Normal"/>
        <w:shd w:val="clear" w:color="auto" w:fill="FFFFFF"/>
        <w:ind w:hanging="0"/>
        <w:rPr>
          <w:rFonts w:eastAsia="Times New Roman" w:cs="Times New Roman"/>
          <w:color w:val="4B4B4B"/>
          <w:szCs w:val="28"/>
          <w:lang w:eastAsia="ru-RU"/>
        </w:rPr>
      </w:pPr>
      <w:r>
        <w:rPr>
          <w:rFonts w:eastAsia="Times New Roman" w:cs="Times New Roman"/>
          <w:color w:val="4B4B4B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a8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b214d"/>
    <w:pPr>
      <w:spacing w:beforeAutospacing="1" w:afterAutospacing="1"/>
      <w:ind w:hanging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e7b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2ed2"/>
    <w:rPr>
      <w:b/>
      <w:bCs/>
    </w:rPr>
  </w:style>
  <w:style w:type="character" w:styleId="Style14">
    <w:name w:val="Интернет-ссылка"/>
    <w:basedOn w:val="DefaultParagraphFont"/>
    <w:unhideWhenUsed/>
    <w:rsid w:val="00a60193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b214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7b8e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72ed2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7B7AE54D6D1B80A454CA3AFABB90D8A026EAC860AF42965A59AF28CAEE12BB179AFF3F6E2E414DF6502B82537z6X7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LibreOffice/5.4.6.2$Windows_x86 LibreOffice_project/4014ce260a04f1026ba855d3b8d91541c224eab8</Application>
  <Pages>14</Pages>
  <Words>2464</Words>
  <Characters>17357</Characters>
  <CharactersWithSpaces>19745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2019-06-24T11:49:00Z</dcterms:created>
  <dc:creator>Яковлева Вероника Александровна</dc:creator>
  <dc:description/>
  <dc:language>ru-RU</dc:language>
  <cp:lastModifiedBy/>
  <cp:lastPrinted>2019-06-24T11:48:00Z</cp:lastPrinted>
  <dcterms:modified xsi:type="dcterms:W3CDTF">2019-06-26T12:02:30Z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